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w:t>
      </w:r>
      <w:r>
        <w:rPr>
          <w:sz w:val="24"/>
        </w:rPr>
        <w:t>ин</w:t>
      </w:r>
      <w:r>
        <w:rPr>
          <w:sz w:val="24"/>
        </w:rPr>
        <w:t xml:space="preserve">ять  </w:t>
      </w:r>
      <w:r>
        <w:rPr>
          <w:sz w:val="24"/>
        </w:rPr>
        <w:t>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rFonts w:ascii="Times New Roman" w:hAnsi="Times New Roman"/>
          <w:sz w:val="24"/>
        </w:rPr>
        <w:t xml:space="preserve"> </w:t>
      </w:r>
      <w:r>
        <w:rPr>
          <w:rFonts w:ascii="Times New Roman" w:hAnsi="Times New Roman"/>
          <w:sz w:val="24"/>
        </w:rPr>
        <w:t xml:space="preserve"> 23:39:0903005:539</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 xml:space="preserve"> 3591</w:t>
      </w:r>
      <w:r>
        <w:rPr>
          <w:rFonts w:ascii="Times New Roman" w:hAnsi="Times New Roman"/>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Пшехское</w:t>
      </w:r>
      <w:r>
        <w:rPr>
          <w:rFonts w:ascii="Times New Roman" w:hAnsi="Times New Roman"/>
          <w:sz w:val="24"/>
        </w:rPr>
        <w:t xml:space="preserve"> с/п., х Кубанский, ул. Звездная</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ведения личного подсобного хозяйства (приусадебный земельный участок).</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260132,04</w:t>
      </w:r>
      <w:r>
        <w:rPr>
          <w:sz w:val="24"/>
        </w:rPr>
        <w:t xml:space="preserve"> руб. (</w:t>
      </w:r>
      <w:r>
        <w:rPr>
          <w:sz w:val="24"/>
        </w:rPr>
        <w:t>двести шестьдесят тысяч сто тридцать два рубля 04 копейки</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испо</w:t>
      </w:r>
      <w:r>
        <w:rPr>
          <w:sz w:val="24"/>
        </w:rPr>
        <w:t>льзов</w:t>
      </w:r>
      <w:r>
        <w:rPr>
          <w:sz w:val="24"/>
        </w:rPr>
        <w:t>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w:t>
      </w:r>
      <w:r>
        <w:rPr>
          <w:sz w:val="24"/>
        </w:rPr>
        <w:t>ации.</w:t>
      </w:r>
    </w:p>
    <w:p w14:paraId="49000000">
      <w:pPr>
        <w:ind/>
        <w:jc w:val="both"/>
        <w:rPr>
          <w:sz w:val="24"/>
        </w:rPr>
      </w:pPr>
      <w:r>
        <w:rPr>
          <w:sz w:val="24"/>
        </w:rPr>
        <w:t xml:space="preserve">4.1.23. </w:t>
      </w:r>
      <w:r>
        <w:rPr>
          <w:sz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sz w:val="24"/>
        </w:rPr>
        <w:t xml:space="preserve"> </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4"/>
        </w:rPr>
      </w:pPr>
      <w:r>
        <w:rPr>
          <w:sz w:val="24"/>
        </w:rPr>
        <w:t>9.1</w:t>
      </w:r>
      <w:r>
        <w:rPr>
          <w:sz w:val="24"/>
        </w:rPr>
        <w:t>.</w:t>
      </w:r>
      <w:r>
        <w:rPr>
          <w:sz w:val="24"/>
        </w:rPr>
        <w:t xml:space="preserve"> </w:t>
      </w:r>
      <w:r>
        <w:rPr>
          <w:rFonts w:ascii="Times New Roman" w:hAnsi="Times New Roman"/>
          <w:sz w:val="24"/>
        </w:rPr>
        <w:t xml:space="preserve">Часть участка попадает в </w:t>
      </w:r>
      <w:r>
        <w:rPr>
          <w:rFonts w:ascii="Times New Roman" w:hAnsi="Times New Roman"/>
          <w:sz w:val="24"/>
        </w:rPr>
        <w:t>водоохранную</w:t>
      </w:r>
      <w:r>
        <w:rPr>
          <w:rFonts w:ascii="Times New Roman" w:hAnsi="Times New Roman"/>
          <w:sz w:val="24"/>
        </w:rPr>
        <w:t xml:space="preserve"> зону балки Коренная (ЗОУИТ 23:02-6.769). </w:t>
      </w:r>
      <w:r>
        <w:rPr>
          <w:rFonts w:ascii="Times New Roman" w:hAnsi="Times New Roman"/>
          <w:sz w:val="24"/>
          <w:highlight w:val="white"/>
        </w:rPr>
        <w:t xml:space="preserve">В соответствии со статьей 65 Водного кодекса Российской Федерации, в границах </w:t>
      </w:r>
      <w:r>
        <w:rPr>
          <w:rFonts w:ascii="Times New Roman" w:hAnsi="Times New Roman"/>
          <w:sz w:val="24"/>
          <w:highlight w:val="white"/>
        </w:rPr>
        <w:t>водоохранной</w:t>
      </w:r>
      <w:r>
        <w:rPr>
          <w:rFonts w:ascii="Times New Roman" w:hAnsi="Times New Roman"/>
          <w:sz w:val="24"/>
          <w:highlight w:val="white"/>
        </w:rPr>
        <w:t xml:space="preserve"> зоны запрещается: 1) использование сточных вод в целях регулирования плодородия почв;2)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отходов;3) осуществление авиационных мер по борьбе с вредными организмами;</w:t>
      </w:r>
      <w:r>
        <w:rPr>
          <w:rFonts w:ascii="Times New Roman" w:hAnsi="Times New Roman"/>
          <w:sz w:val="24"/>
          <w:highlight w:val="white"/>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r>
        <w:rPr>
          <w:rFonts w:ascii="Times New Roman" w:hAnsi="Times New Roman"/>
          <w:sz w:val="24"/>
          <w:highlight w:val="white"/>
        </w:rPr>
        <w:t xml:space="preserve">5) размещение автозаправочных станций, складов горюче-смазочных материалов (за исключением случаев, если автозаправочные станции, склады </w:t>
      </w:r>
      <w:r>
        <w:rPr>
          <w:rFonts w:ascii="Times New Roman" w:hAnsi="Times New Roman"/>
          <w:sz w:val="24"/>
          <w:highlight w:val="white"/>
        </w:rPr>
        <w:t xml:space="preserve">горюче-смазочных материалов размещены на территориях портов, </w:t>
      </w:r>
      <w:r>
        <w:rPr>
          <w:rFonts w:ascii="Times New Roman" w:hAnsi="Times New Roman"/>
          <w:sz w:val="24"/>
          <w:highlight w:val="white"/>
        </w:rPr>
        <w:t>судострои</w:t>
      </w:r>
      <w:r>
        <w:rPr>
          <w:rFonts w:ascii="Times New Roman" w:hAnsi="Times New Roman"/>
          <w:sz w:val="24"/>
          <w:highlight w:val="white"/>
        </w:rPr>
        <w:t>-тельных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Pr>
          <w:rFonts w:ascii="Times New Roman" w:hAnsi="Times New Roman"/>
          <w:sz w:val="24"/>
          <w:highlight w:val="white"/>
        </w:rPr>
        <w:t xml:space="preserve">6) размещение специализированных хранилищ пестицидов и </w:t>
      </w:r>
      <w:r>
        <w:rPr>
          <w:rFonts w:ascii="Times New Roman" w:hAnsi="Times New Roman"/>
          <w:sz w:val="24"/>
          <w:highlight w:val="white"/>
        </w:rPr>
        <w:t>агрохимикатов</w:t>
      </w:r>
      <w:r>
        <w:rPr>
          <w:rFonts w:ascii="Times New Roman" w:hAnsi="Times New Roman"/>
          <w:sz w:val="24"/>
          <w:highlight w:val="white"/>
        </w:rPr>
        <w:t>, применение пестицидов и агрохимикатов;7) сброс сточных, в том числе дренажных, вод;</w:t>
      </w:r>
      <w:r>
        <w:rPr>
          <w:rFonts w:ascii="Times New Roman" w:hAnsi="Times New Roman"/>
          <w:sz w:val="24"/>
          <w:highlight w:val="white"/>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w:t>
      </w:r>
      <w:r>
        <w:rPr>
          <w:rFonts w:ascii="Times New Roman" w:hAnsi="Times New Roman"/>
          <w:sz w:val="24"/>
          <w:highlight w:val="white"/>
        </w:rPr>
        <w:t xml:space="preserve"> февраля 1992 года № 2395-1 «О недрах»)</w:t>
      </w:r>
      <w:r>
        <w:rPr>
          <w:rFonts w:ascii="Times New Roman" w:hAnsi="Times New Roman"/>
          <w:sz w:val="24"/>
          <w:highlight w:val="white"/>
        </w:rPr>
        <w:t>.В</w:t>
      </w:r>
      <w:r>
        <w:rPr>
          <w:rFonts w:ascii="Times New Roman" w:hAnsi="Times New Roman"/>
          <w:sz w:val="24"/>
          <w:highlight w:val="white"/>
        </w:rPr>
        <w:t xml:space="preserve"> границах </w:t>
      </w:r>
      <w:r>
        <w:rPr>
          <w:rFonts w:ascii="Times New Roman" w:hAnsi="Times New Roman"/>
          <w:sz w:val="24"/>
          <w:highlight w:val="white"/>
        </w:rPr>
        <w:t>водоохранных</w:t>
      </w:r>
      <w:r>
        <w:rPr>
          <w:rFonts w:ascii="Times New Roman" w:hAnsi="Times New Roman"/>
          <w:sz w:val="24"/>
          <w:highlight w:val="white"/>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зону подтопления территории при половодьях и паводках </w:t>
      </w:r>
      <w:r>
        <w:rPr>
          <w:rFonts w:ascii="Times New Roman" w:hAnsi="Times New Roman"/>
          <w:sz w:val="24"/>
          <w:highlight w:val="white"/>
        </w:rPr>
        <w:t>б</w:t>
      </w:r>
      <w:r>
        <w:rPr>
          <w:rFonts w:ascii="Times New Roman" w:hAnsi="Times New Roman"/>
          <w:sz w:val="24"/>
          <w:highlight w:val="white"/>
        </w:rPr>
        <w:t>.К</w:t>
      </w:r>
      <w:r>
        <w:rPr>
          <w:rFonts w:ascii="Times New Roman" w:hAnsi="Times New Roman"/>
          <w:sz w:val="24"/>
          <w:highlight w:val="white"/>
        </w:rPr>
        <w:t>оренная</w:t>
      </w:r>
      <w:r>
        <w:rPr>
          <w:rFonts w:ascii="Times New Roman" w:hAnsi="Times New Roman"/>
          <w:sz w:val="24"/>
          <w:highlight w:val="white"/>
        </w:rPr>
        <w:t xml:space="preserve">, р. Вторая балка1 % обеспеченности. </w:t>
      </w:r>
      <w:r>
        <w:rPr>
          <w:rFonts w:ascii="Times New Roman" w:hAnsi="Times New Roman"/>
          <w:sz w:val="24"/>
          <w:highlight w:val="white"/>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rFonts w:ascii="Times New Roman" w:hAnsi="Times New Roman"/>
          <w:sz w:val="24"/>
          <w:highlight w:val="white"/>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Body Text Indent 3"/>
    <w:basedOn w:val="Style_1"/>
    <w:link w:val="Style_2_ch"/>
    <w:pPr>
      <w:spacing w:after="120"/>
      <w:ind w:firstLine="0" w:left="283"/>
    </w:pPr>
    <w:rPr>
      <w:sz w:val="16"/>
    </w:rPr>
  </w:style>
  <w:style w:styleId="Style_2_ch" w:type="character">
    <w:name w:val="Body Text Indent 3"/>
    <w:basedOn w:val="Style_1_ch"/>
    <w:link w:val="Style_2"/>
    <w:rPr>
      <w:sz w:val="16"/>
    </w:rPr>
  </w:style>
  <w:style w:styleId="Style_3" w:type="paragraph">
    <w:name w:val="toc 2"/>
    <w:next w:val="Style_1"/>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Гипертекстовая ссылка"/>
    <w:link w:val="Style_8_ch"/>
    <w:rPr>
      <w:b w:val="1"/>
      <w:color w:val="008000"/>
      <w:sz w:val="20"/>
      <w:u w:val="single"/>
    </w:rPr>
  </w:style>
  <w:style w:styleId="Style_8_ch" w:type="character">
    <w:name w:val="Гипертекстовая ссылка"/>
    <w:link w:val="Style_8"/>
    <w:rPr>
      <w:b w:val="1"/>
      <w:color w:val="008000"/>
      <w:sz w:val="20"/>
      <w:u w:val="single"/>
    </w:rPr>
  </w:style>
  <w:style w:styleId="Style_9" w:type="paragraph">
    <w:name w:val="toc 3"/>
    <w:next w:val="Style_1"/>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heading 5"/>
    <w:basedOn w:val="Style_1"/>
    <w:next w:val="Style_1"/>
    <w:link w:val="Style_10_ch"/>
    <w:uiPriority w:val="9"/>
    <w:qFormat/>
    <w:pPr>
      <w:keepNext w:val="1"/>
      <w:keepLines w:val="1"/>
      <w:spacing w:after="40" w:before="220"/>
      <w:ind/>
      <w:outlineLvl w:val="4"/>
    </w:pPr>
    <w:rPr>
      <w:b w:val="1"/>
      <w:sz w:val="22"/>
    </w:rPr>
  </w:style>
  <w:style w:styleId="Style_10_ch" w:type="character">
    <w:name w:val="heading 5"/>
    <w:basedOn w:val="Style_1_ch"/>
    <w:link w:val="Style_10"/>
    <w:rPr>
      <w:b w:val="1"/>
      <w:sz w:val="22"/>
    </w:rPr>
  </w:style>
  <w:style w:styleId="Style_11" w:type="paragraph">
    <w:name w:val="List Paragraph"/>
    <w:basedOn w:val="Style_1"/>
    <w:link w:val="Style_11_ch"/>
    <w:pPr>
      <w:ind w:firstLine="0" w:left="720"/>
      <w:contextualSpacing w:val="1"/>
    </w:pPr>
  </w:style>
  <w:style w:styleId="Style_11_ch" w:type="character">
    <w:name w:val="List Paragraph"/>
    <w:basedOn w:val="Style_1_ch"/>
    <w:link w:val="Style_11"/>
  </w:style>
  <w:style w:styleId="Style_12" w:type="paragraph">
    <w:name w:val="Body Text Indent 2"/>
    <w:basedOn w:val="Style_1"/>
    <w:link w:val="Style_12_ch"/>
    <w:pPr>
      <w:widowControl w:val="0"/>
      <w:spacing w:after="20" w:before="20"/>
      <w:ind w:firstLine="360" w:left="0" w:right="-8"/>
      <w:jc w:val="both"/>
    </w:pPr>
  </w:style>
  <w:style w:styleId="Style_12_ch" w:type="character">
    <w:name w:val="Body Text Indent 2"/>
    <w:basedOn w:val="Style_1_ch"/>
    <w:link w:val="Style_12"/>
  </w:style>
  <w:style w:styleId="Style_13" w:type="paragraph">
    <w:name w:val="heading 1"/>
    <w:basedOn w:val="Style_1"/>
    <w:next w:val="Style_1"/>
    <w:link w:val="Style_13_ch"/>
    <w:uiPriority w:val="9"/>
    <w:qFormat/>
    <w:pPr>
      <w:keepNext w:val="1"/>
      <w:widowControl w:val="0"/>
      <w:spacing w:line="400" w:lineRule="exact"/>
      <w:ind w:firstLine="0" w:left="3700" w:right="3600"/>
      <w:jc w:val="both"/>
      <w:outlineLvl w:val="0"/>
    </w:pPr>
    <w:rPr>
      <w:b w:val="1"/>
      <w:sz w:val="28"/>
    </w:rPr>
  </w:style>
  <w:style w:styleId="Style_13_ch" w:type="character">
    <w:name w:val="heading 1"/>
    <w:basedOn w:val="Style_1_ch"/>
    <w:link w:val="Style_13"/>
    <w:rPr>
      <w:b w:val="1"/>
      <w:sz w:val="28"/>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Body Text 2"/>
    <w:basedOn w:val="Style_1"/>
    <w:link w:val="Style_16_ch"/>
    <w:pPr>
      <w:spacing w:after="120" w:line="480" w:lineRule="auto"/>
      <w:ind/>
    </w:pPr>
  </w:style>
  <w:style w:styleId="Style_16_ch" w:type="character">
    <w:name w:val="Body Text 2"/>
    <w:basedOn w:val="Style_1_ch"/>
    <w:link w:val="Style_16"/>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toc 8"/>
    <w:next w:val="Style_1"/>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Таблицы (моноширинный)"/>
    <w:basedOn w:val="Style_1"/>
    <w:next w:val="Style_1"/>
    <w:link w:val="Style_21_ch"/>
    <w:pPr>
      <w:widowControl w:val="0"/>
      <w:ind/>
      <w:jc w:val="both"/>
    </w:pPr>
    <w:rPr>
      <w:rFonts w:ascii="Courier New" w:hAnsi="Courier New"/>
      <w:sz w:val="20"/>
    </w:rPr>
  </w:style>
  <w:style w:styleId="Style_21_ch" w:type="character">
    <w:name w:val="Таблицы (моноширинный)"/>
    <w:basedOn w:val="Style_1_ch"/>
    <w:link w:val="Style_21"/>
    <w:rPr>
      <w:rFonts w:ascii="Courier New" w:hAnsi="Courier New"/>
      <w:sz w:val="20"/>
    </w:rPr>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Body Text 3"/>
    <w:basedOn w:val="Style_1"/>
    <w:link w:val="Style_23_ch"/>
    <w:pPr>
      <w:spacing w:after="120"/>
      <w:ind/>
    </w:pPr>
    <w:rPr>
      <w:sz w:val="16"/>
    </w:rPr>
  </w:style>
  <w:style w:styleId="Style_23_ch" w:type="character">
    <w:name w:val="Body Text 3"/>
    <w:basedOn w:val="Style_1_ch"/>
    <w:link w:val="Style_23"/>
    <w:rPr>
      <w:sz w:val="16"/>
    </w:rPr>
  </w:style>
  <w:style w:styleId="Style_24" w:type="paragraph">
    <w:name w:val="Цветовое выделение"/>
    <w:link w:val="Style_24_ch"/>
    <w:rPr>
      <w:b w:val="1"/>
      <w:color w:val="000080"/>
      <w:sz w:val="20"/>
    </w:rPr>
  </w:style>
  <w:style w:styleId="Style_24_ch" w:type="character">
    <w:name w:val="Цветовое выделение"/>
    <w:link w:val="Style_24"/>
    <w:rPr>
      <w:b w:val="1"/>
      <w:color w:val="000080"/>
      <w:sz w:val="20"/>
    </w:rPr>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Default Paragraph Font"/>
    <w:link w:val="Style_27_ch"/>
  </w:style>
  <w:style w:styleId="Style_27_ch" w:type="character">
    <w:name w:val="Default Paragraph Font"/>
    <w:link w:val="Style_27"/>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default="1" w:styleId="Style_36" w:type="table">
    <w:name w:val="Normal Table"/>
    <w:tblPr>
      <w:tblInd w:type="dxa" w:w="0"/>
      <w:tblCellMar>
        <w:top w:type="dxa" w:w="0"/>
        <w:left w:type="dxa" w:w="108"/>
        <w:bottom w:type="dxa" w:w="0"/>
        <w:right w:type="dxa" w:w="108"/>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2023-12-23T19:43:18Z</dcterms:modified>
</cp:coreProperties>
</file>